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78534" w14:textId="1E8C1ADA" w:rsidR="005F3FEE" w:rsidRDefault="005F3FEE" w:rsidP="005F3FEE">
      <w:pPr>
        <w:rPr>
          <w:b/>
          <w:bCs/>
        </w:rPr>
      </w:pPr>
      <w:r>
        <w:rPr>
          <w:b/>
          <w:bCs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 wp14:anchorId="743A6E7F" wp14:editId="0DD53B67">
            <wp:simplePos x="0" y="0"/>
            <wp:positionH relativeFrom="column">
              <wp:posOffset>3504565</wp:posOffset>
            </wp:positionH>
            <wp:positionV relativeFrom="page">
              <wp:posOffset>647700</wp:posOffset>
            </wp:positionV>
            <wp:extent cx="2689860" cy="502920"/>
            <wp:effectExtent l="0" t="0" r="0" b="0"/>
            <wp:wrapNone/>
            <wp:docPr id="131384214" name="Grafik 1" descr="Ein Bild, das Screenshot, Schwar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4214" name="Grafik 1" descr="Ein Bild, das Screenshot, Schwarz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E62A65" w14:textId="77777777" w:rsidR="005F3FEE" w:rsidRDefault="005F3FEE" w:rsidP="005F3FEE">
      <w:pPr>
        <w:rPr>
          <w:b/>
          <w:bCs/>
        </w:rPr>
      </w:pPr>
    </w:p>
    <w:p w14:paraId="2AE5B8CF" w14:textId="4CC0E132" w:rsidR="005F3FEE" w:rsidRPr="005F3FEE" w:rsidRDefault="005F3FEE" w:rsidP="005F3FEE">
      <w:r w:rsidRPr="005F3FEE">
        <w:rPr>
          <w:b/>
          <w:bCs/>
        </w:rPr>
        <w:t>Pressemitteilung</w:t>
      </w:r>
    </w:p>
    <w:p w14:paraId="49EFAC40" w14:textId="77777777" w:rsidR="005F3FEE" w:rsidRPr="005F3FEE" w:rsidRDefault="005F3FEE" w:rsidP="005F3FEE">
      <w:r w:rsidRPr="005F3FEE">
        <w:rPr>
          <w:b/>
          <w:bCs/>
        </w:rPr>
        <w:t>Bundesverband THG Quote e.V. veröffentlicht Positionspapier zur Stärkung der Treibhausgasminderungsquote</w:t>
      </w:r>
    </w:p>
    <w:p w14:paraId="0AAFDEEE" w14:textId="77777777" w:rsidR="005F3FEE" w:rsidRPr="005F3FEE" w:rsidRDefault="005F3FEE" w:rsidP="005F3FEE">
      <w:r w:rsidRPr="005F3FEE">
        <w:rPr>
          <w:b/>
          <w:bCs/>
        </w:rPr>
        <w:t>Berlin, 3. September 2024</w:t>
      </w:r>
      <w:r w:rsidRPr="005F3FEE">
        <w:t xml:space="preserve"> – Der Bundesverband THG Quote e.V. hat heute ein umfassendes Positionspapier zur Weiterentwicklung der Treibhausgasminderungsquote (THG-Quote) als effektives Instrument zur Förderung nachhaltiger Mobilitätsoptionen veröffentlicht. Angesichts der dringenden Notwendigkeit, CO2-Emissionen im Verkehrssektor zu senken, zeigt das Papier auf, wie die THG-Quote gestärkt und besser an die aktuellen Marktbedingungen angepasst werden kann.</w:t>
      </w:r>
    </w:p>
    <w:p w14:paraId="18081579" w14:textId="77777777" w:rsidR="005F3FEE" w:rsidRPr="005F3FEE" w:rsidRDefault="005F3FEE" w:rsidP="005F3FEE">
      <w:r w:rsidRPr="005F3FEE">
        <w:rPr>
          <w:b/>
          <w:bCs/>
        </w:rPr>
        <w:t>Hintergrund: Notwendigkeit zur Anpassung der THG-Quote</w:t>
      </w:r>
    </w:p>
    <w:p w14:paraId="092C819A" w14:textId="77777777" w:rsidR="005F3FEE" w:rsidRPr="005F3FEE" w:rsidRDefault="005F3FEE" w:rsidP="005F3FEE">
      <w:r w:rsidRPr="005F3FEE">
        <w:t xml:space="preserve">Die THG-Quote wurde eingeführt, um die CO2-Emissionen im Verkehrsbereich zu reduzieren und den Anteil erneuerbarer Energien in der Mobilität zu erhöhen. Das Positionspapier betont die Erfolge der THG-Quote, weist jedoch auch auf Marktverzerrungen hin, die in den letzten zwei Jahren zu einem Preisverfall der </w:t>
      </w:r>
      <w:proofErr w:type="spellStart"/>
      <w:r w:rsidRPr="005F3FEE">
        <w:t>THG-Quoten</w:t>
      </w:r>
      <w:proofErr w:type="spellEnd"/>
      <w:r w:rsidRPr="005F3FEE">
        <w:t xml:space="preserve"> geführt haben. Dies habe die Wirksamkeit der THG-Quote beeinträchtigt und erfordere dringend Maßnahmen zur Stabilisierung und Verbesserung des Instruments.</w:t>
      </w:r>
    </w:p>
    <w:p w14:paraId="0B749EBB" w14:textId="77777777" w:rsidR="005F3FEE" w:rsidRPr="005F3FEE" w:rsidRDefault="005F3FEE" w:rsidP="005F3FEE">
      <w:r w:rsidRPr="005F3FEE">
        <w:rPr>
          <w:b/>
          <w:bCs/>
        </w:rPr>
        <w:t>Zentrale Empfehlungen des Positionspapiers</w:t>
      </w:r>
    </w:p>
    <w:p w14:paraId="13FA1EBD" w14:textId="77777777" w:rsidR="005F3FEE" w:rsidRPr="005F3FEE" w:rsidRDefault="005F3FEE" w:rsidP="005F3FEE">
      <w:r w:rsidRPr="005F3FEE">
        <w:t>Zur Wiederherstellung der Klimaeffekte und zur Stabilisierung der Preise der THG-Quote auf dem Niveau von 2022 schlägt das Papier eine Reihe von Maßnahmen vor, darunter:</w:t>
      </w:r>
    </w:p>
    <w:p w14:paraId="7D79F1FA" w14:textId="77777777" w:rsidR="005F3FEE" w:rsidRPr="005F3FEE" w:rsidRDefault="005F3FEE" w:rsidP="005F3FEE">
      <w:pPr>
        <w:numPr>
          <w:ilvl w:val="0"/>
          <w:numId w:val="1"/>
        </w:numPr>
      </w:pPr>
      <w:r w:rsidRPr="005F3FEE">
        <w:rPr>
          <w:b/>
          <w:bCs/>
        </w:rPr>
        <w:t>Dynamische Erhöhung der Quotenziele („Quoten-Ratsche“) und Reduktion der Doppelanrechnung:</w:t>
      </w:r>
      <w:r w:rsidRPr="005F3FEE">
        <w:t xml:space="preserve"> Eine Anpassung der THG-Quote an die Marktentwicklung soll erreicht werden, indem die Verpflichtungsziele dynamisch erhöht und die Doppelanrechnung von Biokraftstoffen zurückgenommen wird.</w:t>
      </w:r>
    </w:p>
    <w:p w14:paraId="4A45024D" w14:textId="77777777" w:rsidR="005F3FEE" w:rsidRPr="005F3FEE" w:rsidRDefault="005F3FEE" w:rsidP="005F3FEE">
      <w:pPr>
        <w:numPr>
          <w:ilvl w:val="0"/>
          <w:numId w:val="1"/>
        </w:numPr>
      </w:pPr>
      <w:r w:rsidRPr="005F3FEE">
        <w:rPr>
          <w:b/>
          <w:bCs/>
        </w:rPr>
        <w:t>Gleichbehandlung von Strom für Elektromobilität und strombasierten Kraftstoffen:</w:t>
      </w:r>
      <w:r w:rsidRPr="005F3FEE">
        <w:t xml:space="preserve"> Um die Effizienz und Skalierbarkeit der Elektromobilität zu fördern, sollte der Einsatz von Fahrstrom im Verkehr dieselben Fördermöglichkeiten wie strombasiertem Wasserstoff erhalten.</w:t>
      </w:r>
    </w:p>
    <w:p w14:paraId="54760ED3" w14:textId="77777777" w:rsidR="005F3FEE" w:rsidRPr="005F3FEE" w:rsidRDefault="005F3FEE" w:rsidP="005F3FEE">
      <w:pPr>
        <w:numPr>
          <w:ilvl w:val="0"/>
          <w:numId w:val="1"/>
        </w:numPr>
      </w:pPr>
      <w:r w:rsidRPr="005F3FEE">
        <w:rPr>
          <w:b/>
          <w:bCs/>
        </w:rPr>
        <w:t>Vierfachanrechnung von Fahrstrom und Stärkung der Elektromobilität:</w:t>
      </w:r>
      <w:r w:rsidRPr="005F3FEE">
        <w:t xml:space="preserve"> Durch eine stärkere Förderung der Elektromobilität, etwa durch eine Vierfachanrechnung von Fahrstrom, soll der Ausbau der Ladeinfrastruktur beschleunigt und die Elektromobilität gestärkt werden.</w:t>
      </w:r>
    </w:p>
    <w:p w14:paraId="5023A019" w14:textId="77777777" w:rsidR="005F3FEE" w:rsidRPr="005F3FEE" w:rsidRDefault="005F3FEE" w:rsidP="005F3FEE">
      <w:pPr>
        <w:numPr>
          <w:ilvl w:val="0"/>
          <w:numId w:val="1"/>
        </w:numPr>
      </w:pPr>
      <w:r w:rsidRPr="005F3FEE">
        <w:rPr>
          <w:b/>
          <w:bCs/>
        </w:rPr>
        <w:t>Strengere Audits und die Annullierung unrechtmäßiger UER-Nachweise:</w:t>
      </w:r>
      <w:r w:rsidRPr="005F3FEE">
        <w:t xml:space="preserve"> Um Missbrauch zu vermeiden, sollten umfassende und unangekündigte Prüfungen der Bundesanstalt für Landwirtschaft und Ernährung (BLE) eingeführt und unrechtmäßige Nachweise rückwirkend annulliert werden.</w:t>
      </w:r>
    </w:p>
    <w:p w14:paraId="01C1CB0F" w14:textId="77777777" w:rsidR="005F3FEE" w:rsidRDefault="005F3FEE" w:rsidP="005F3FEE">
      <w:pPr>
        <w:numPr>
          <w:ilvl w:val="0"/>
          <w:numId w:val="1"/>
        </w:numPr>
      </w:pPr>
      <w:r w:rsidRPr="005F3FEE">
        <w:rPr>
          <w:b/>
          <w:bCs/>
        </w:rPr>
        <w:t>Einführung des niederländischen Modells der getrennten Verkehrsquoten:</w:t>
      </w:r>
      <w:r w:rsidRPr="005F3FEE">
        <w:t xml:space="preserve"> Eine Anpassung an das niederländische Modell soll dabei helfen, die verschiedenen Erfüllungsoptionen für Straßen-, See- und Luftverkehr gezielt und effizient einzusetzen.</w:t>
      </w:r>
    </w:p>
    <w:p w14:paraId="07860B22" w14:textId="77777777" w:rsidR="005F3FEE" w:rsidRPr="005F3FEE" w:rsidRDefault="005F3FEE" w:rsidP="005F3FEE"/>
    <w:p w14:paraId="0297A81D" w14:textId="77777777" w:rsidR="005F3FEE" w:rsidRPr="005F3FEE" w:rsidRDefault="005F3FEE" w:rsidP="005F3FEE">
      <w:r w:rsidRPr="005F3FEE">
        <w:rPr>
          <w:b/>
          <w:bCs/>
        </w:rPr>
        <w:lastRenderedPageBreak/>
        <w:t>Langfristige Perspektive über 2030 hinaus</w:t>
      </w:r>
    </w:p>
    <w:p w14:paraId="0F1913B8" w14:textId="77777777" w:rsidR="005F3FEE" w:rsidRPr="005F3FEE" w:rsidRDefault="005F3FEE" w:rsidP="005F3FEE">
      <w:r w:rsidRPr="005F3FEE">
        <w:t>Das Positionspapier fordert zudem eine klare Perspektive für die Fortführung der THG-Quote über das Jahr 2030 hinaus, um Investitionen in nachhaltige Mobilitätslösungen langfristig zu sichern.</w:t>
      </w:r>
    </w:p>
    <w:p w14:paraId="50162047" w14:textId="77777777" w:rsidR="005F3FEE" w:rsidRPr="005F3FEE" w:rsidRDefault="005F3FEE" w:rsidP="005F3FEE">
      <w:r w:rsidRPr="005F3FEE">
        <w:rPr>
          <w:b/>
          <w:bCs/>
        </w:rPr>
        <w:t>Fazit</w:t>
      </w:r>
    </w:p>
    <w:p w14:paraId="7BE11CF9" w14:textId="77777777" w:rsidR="005F3FEE" w:rsidRPr="005F3FEE" w:rsidRDefault="005F3FEE" w:rsidP="005F3FEE">
      <w:r w:rsidRPr="005F3FEE">
        <w:t>Die vorgeschlagenen Maßnahmen sollen sicherstellen, dass die THG-Quote auch in Zukunft eine zentrale Rolle bei der Reduktion von CO2-Emissionen im Verkehrssektor spielt und die Mobilitätswende hin zu nachhaltigen Alternativen unterstützt.</w:t>
      </w:r>
    </w:p>
    <w:p w14:paraId="06217AA4" w14:textId="77777777" w:rsidR="005F3FEE" w:rsidRPr="005F3FEE" w:rsidRDefault="005F3FEE" w:rsidP="005F3FEE">
      <w:r w:rsidRPr="005F3FEE">
        <w:t>Für weitere Informationen oder Rückfragen stehen wir Ihnen gerne zur Verfügung:</w:t>
      </w:r>
    </w:p>
    <w:p w14:paraId="4D6A948F" w14:textId="76EA1930" w:rsidR="005F3FEE" w:rsidRPr="005F3FEE" w:rsidRDefault="005F3FEE" w:rsidP="005F3FEE">
      <w:r w:rsidRPr="005F3FEE">
        <w:rPr>
          <w:b/>
          <w:bCs/>
        </w:rPr>
        <w:t>Kontakt:</w:t>
      </w:r>
      <w:r w:rsidRPr="005F3FEE">
        <w:t xml:space="preserve"> Bundesverband THG Quote e.V.</w:t>
      </w:r>
      <w:r w:rsidRPr="005F3FEE">
        <w:br/>
        <w:t>Linienstr. 144</w:t>
      </w:r>
      <w:r w:rsidRPr="005F3FEE">
        <w:br/>
        <w:t>10115 Berlin</w:t>
      </w:r>
      <w:r w:rsidRPr="005F3FEE">
        <w:br/>
        <w:t>E-Mail: info@b-thg.de</w:t>
      </w:r>
      <w:r w:rsidRPr="005F3FEE">
        <w:br/>
        <w:t>Telefon: +49 (0)30 7543 7837</w:t>
      </w:r>
    </w:p>
    <w:p w14:paraId="540A854D" w14:textId="77777777" w:rsidR="004118FA" w:rsidRDefault="004118FA"/>
    <w:sectPr w:rsidR="004118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6361"/>
    <w:multiLevelType w:val="multilevel"/>
    <w:tmpl w:val="988C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632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EE"/>
    <w:rsid w:val="0017627B"/>
    <w:rsid w:val="004118FA"/>
    <w:rsid w:val="00536EE6"/>
    <w:rsid w:val="005F3FEE"/>
    <w:rsid w:val="0069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E923"/>
  <w15:chartTrackingRefBased/>
  <w15:docId w15:val="{D8EA714D-769C-4818-9A9C-DB6380CD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3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F3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3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3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3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3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3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3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3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3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F3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3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3FE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3FE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3FE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3FE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3FE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3F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F3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F3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3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F3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F3FE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F3FE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F3FE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F3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F3FE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F3F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FD6B.DFEB2A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Hotop</dc:creator>
  <cp:keywords/>
  <dc:description/>
  <cp:lastModifiedBy>Manuela Hotop</cp:lastModifiedBy>
  <cp:revision>2</cp:revision>
  <dcterms:created xsi:type="dcterms:W3CDTF">2024-09-03T06:50:00Z</dcterms:created>
  <dcterms:modified xsi:type="dcterms:W3CDTF">2024-09-03T06:50:00Z</dcterms:modified>
</cp:coreProperties>
</file>